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0F6B0" w14:textId="77777777" w:rsidR="00162078" w:rsidRDefault="00162078" w:rsidP="00295709">
      <w:pPr>
        <w:jc w:val="center"/>
        <w:rPr>
          <w:rFonts w:ascii="Times New Roman" w:hAnsi="Times New Roman" w:cs="Times New Roman"/>
          <w:sz w:val="24"/>
          <w:szCs w:val="24"/>
        </w:rPr>
      </w:pPr>
    </w:p>
    <w:p w14:paraId="6359E495" w14:textId="77777777" w:rsidR="00162078" w:rsidRDefault="00162078" w:rsidP="00295709">
      <w:pPr>
        <w:jc w:val="center"/>
        <w:rPr>
          <w:rFonts w:ascii="Times New Roman" w:hAnsi="Times New Roman" w:cs="Times New Roman"/>
          <w:sz w:val="24"/>
          <w:szCs w:val="24"/>
        </w:rPr>
      </w:pPr>
    </w:p>
    <w:p w14:paraId="2B025398" w14:textId="77777777" w:rsidR="00162078" w:rsidRDefault="00162078" w:rsidP="00295709">
      <w:pPr>
        <w:jc w:val="center"/>
        <w:rPr>
          <w:rFonts w:ascii="Times New Roman" w:hAnsi="Times New Roman" w:cs="Times New Roman"/>
          <w:sz w:val="24"/>
          <w:szCs w:val="24"/>
        </w:rPr>
      </w:pPr>
    </w:p>
    <w:p w14:paraId="283A8D8E" w14:textId="77777777" w:rsidR="00162078" w:rsidRDefault="00162078" w:rsidP="00295709">
      <w:pPr>
        <w:jc w:val="center"/>
        <w:rPr>
          <w:rFonts w:ascii="Times New Roman" w:hAnsi="Times New Roman" w:cs="Times New Roman"/>
          <w:sz w:val="24"/>
          <w:szCs w:val="24"/>
        </w:rPr>
      </w:pPr>
    </w:p>
    <w:p w14:paraId="0A415BDC" w14:textId="77777777" w:rsidR="00162078" w:rsidRDefault="00162078" w:rsidP="00295709">
      <w:pPr>
        <w:jc w:val="center"/>
        <w:rPr>
          <w:rFonts w:ascii="Times New Roman" w:hAnsi="Times New Roman" w:cs="Times New Roman"/>
          <w:sz w:val="24"/>
          <w:szCs w:val="24"/>
        </w:rPr>
      </w:pPr>
    </w:p>
    <w:p w14:paraId="755DE3AC" w14:textId="77777777" w:rsidR="00162078" w:rsidRDefault="00162078" w:rsidP="00295709">
      <w:pPr>
        <w:jc w:val="center"/>
        <w:rPr>
          <w:rFonts w:ascii="Times New Roman" w:hAnsi="Times New Roman" w:cs="Times New Roman"/>
          <w:sz w:val="24"/>
          <w:szCs w:val="24"/>
        </w:rPr>
      </w:pPr>
    </w:p>
    <w:p w14:paraId="0AE17DDD" w14:textId="77777777" w:rsidR="00162078" w:rsidRDefault="00162078" w:rsidP="00295709">
      <w:pPr>
        <w:jc w:val="center"/>
        <w:rPr>
          <w:rFonts w:ascii="Times New Roman" w:hAnsi="Times New Roman" w:cs="Times New Roman"/>
          <w:sz w:val="24"/>
          <w:szCs w:val="24"/>
        </w:rPr>
      </w:pPr>
    </w:p>
    <w:p w14:paraId="116522C7" w14:textId="77777777" w:rsidR="00162078" w:rsidRDefault="00162078" w:rsidP="00295709">
      <w:pPr>
        <w:jc w:val="center"/>
        <w:rPr>
          <w:rFonts w:ascii="Times New Roman" w:hAnsi="Times New Roman" w:cs="Times New Roman"/>
          <w:sz w:val="24"/>
          <w:szCs w:val="24"/>
        </w:rPr>
      </w:pPr>
    </w:p>
    <w:p w14:paraId="7D6011C1" w14:textId="77777777" w:rsidR="00162078" w:rsidRPr="0023384D" w:rsidRDefault="00162078" w:rsidP="0023384D">
      <w:pPr>
        <w:jc w:val="center"/>
      </w:pPr>
    </w:p>
    <w:p w14:paraId="407271DC" w14:textId="77777777" w:rsidR="00162078" w:rsidRPr="0023384D" w:rsidRDefault="00162078" w:rsidP="0023384D">
      <w:pPr>
        <w:jc w:val="center"/>
      </w:pPr>
    </w:p>
    <w:p w14:paraId="2DF75232" w14:textId="77777777" w:rsidR="00162078" w:rsidRPr="0023384D" w:rsidRDefault="00162078" w:rsidP="0023384D">
      <w:pPr>
        <w:jc w:val="center"/>
      </w:pPr>
    </w:p>
    <w:p w14:paraId="0860CE70" w14:textId="77777777" w:rsidR="0023384D" w:rsidRPr="0023384D" w:rsidRDefault="0023384D" w:rsidP="0023384D">
      <w:pPr>
        <w:spacing w:line="480" w:lineRule="auto"/>
        <w:jc w:val="center"/>
        <w:rPr>
          <w:rFonts w:ascii="Times New Roman" w:hAnsi="Times New Roman" w:cs="Times New Roman"/>
          <w:color w:val="202124"/>
          <w:sz w:val="24"/>
          <w:szCs w:val="24"/>
          <w:lang w:val="es-ES"/>
        </w:rPr>
      </w:pPr>
      <w:r w:rsidRPr="0023384D">
        <w:rPr>
          <w:rFonts w:ascii="Times New Roman" w:hAnsi="Times New Roman" w:cs="Times New Roman"/>
          <w:color w:val="202124"/>
          <w:sz w:val="24"/>
          <w:szCs w:val="24"/>
          <w:lang w:val="es-ES"/>
        </w:rPr>
        <w:t>Definición de términos</w:t>
      </w:r>
    </w:p>
    <w:p w14:paraId="04DC5DA2" w14:textId="77777777" w:rsidR="0023384D" w:rsidRPr="0023384D" w:rsidRDefault="0023384D" w:rsidP="0023384D">
      <w:pPr>
        <w:spacing w:line="480" w:lineRule="auto"/>
        <w:jc w:val="center"/>
        <w:rPr>
          <w:rFonts w:ascii="Times New Roman" w:hAnsi="Times New Roman" w:cs="Times New Roman"/>
          <w:color w:val="202124"/>
          <w:sz w:val="24"/>
          <w:szCs w:val="24"/>
          <w:lang w:val="es-ES"/>
        </w:rPr>
      </w:pPr>
      <w:r w:rsidRPr="0023384D">
        <w:rPr>
          <w:rFonts w:ascii="Times New Roman" w:hAnsi="Times New Roman" w:cs="Times New Roman"/>
          <w:color w:val="202124"/>
          <w:sz w:val="24"/>
          <w:szCs w:val="24"/>
          <w:lang w:val="es-ES"/>
        </w:rPr>
        <w:t>El nombre del estudiante,</w:t>
      </w:r>
    </w:p>
    <w:p w14:paraId="1500B325" w14:textId="77777777" w:rsidR="0023384D" w:rsidRPr="0023384D" w:rsidRDefault="0023384D" w:rsidP="0023384D">
      <w:pPr>
        <w:spacing w:line="480" w:lineRule="auto"/>
        <w:jc w:val="center"/>
        <w:rPr>
          <w:rFonts w:ascii="Times New Roman" w:hAnsi="Times New Roman" w:cs="Times New Roman"/>
          <w:color w:val="202124"/>
          <w:sz w:val="24"/>
          <w:szCs w:val="24"/>
          <w:lang w:val="es-ES"/>
        </w:rPr>
      </w:pPr>
      <w:r w:rsidRPr="0023384D">
        <w:rPr>
          <w:rFonts w:ascii="Times New Roman" w:hAnsi="Times New Roman" w:cs="Times New Roman"/>
          <w:color w:val="202124"/>
          <w:sz w:val="24"/>
          <w:szCs w:val="24"/>
          <w:lang w:val="es-ES"/>
        </w:rPr>
        <w:t>Afiliación institucional</w:t>
      </w:r>
    </w:p>
    <w:p w14:paraId="56E55B1F" w14:textId="77777777" w:rsidR="0023384D" w:rsidRPr="0023384D" w:rsidRDefault="0023384D" w:rsidP="0023384D">
      <w:pPr>
        <w:spacing w:line="480" w:lineRule="auto"/>
        <w:jc w:val="center"/>
        <w:rPr>
          <w:rFonts w:ascii="Times New Roman" w:hAnsi="Times New Roman" w:cs="Times New Roman"/>
          <w:color w:val="202124"/>
          <w:sz w:val="24"/>
          <w:szCs w:val="24"/>
        </w:rPr>
      </w:pPr>
      <w:r w:rsidRPr="0023384D">
        <w:rPr>
          <w:rFonts w:ascii="Times New Roman" w:hAnsi="Times New Roman" w:cs="Times New Roman"/>
          <w:color w:val="202124"/>
          <w:sz w:val="24"/>
          <w:szCs w:val="24"/>
          <w:lang w:val="es-ES"/>
        </w:rPr>
        <w:t>Nombre del profesor</w:t>
      </w:r>
    </w:p>
    <w:p w14:paraId="024158DF" w14:textId="7A7630A9" w:rsidR="0023384D" w:rsidRPr="0023384D" w:rsidRDefault="0023384D" w:rsidP="0023384D">
      <w:pPr>
        <w:jc w:val="center"/>
      </w:pPr>
      <w:r w:rsidRPr="0023384D">
        <w:br w:type="page"/>
      </w:r>
    </w:p>
    <w:p w14:paraId="5CFFFFF8"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lastRenderedPageBreak/>
        <w:t>La farmacología es el estudio de la reacción de las drogas en el cuerpo. El estudio intenta explicar el origen, las propiedades y la naturaleza de las drogas.</w:t>
      </w:r>
    </w:p>
    <w:p w14:paraId="640BC414"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La farmacocinética se refiere al trabajo de las drogas en el cuerpo durante cierto período de tiempo. Incluye la absorción de la droga en los procesos corporales, la distribución en el cuerpo y la ubicación en varios tejidos que se utilizarán y el proceso de excreción.</w:t>
      </w:r>
    </w:p>
    <w:p w14:paraId="326E1E30"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Farmacodinámica se refiere al efecto provocado por la interacción del fármaco con el organismo. Incluye la reacción fisiológica del fármaco y los efectos bioquímicos.</w:t>
      </w:r>
    </w:p>
    <w:p w14:paraId="4588F8FE"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El metabolismo se refiere a los procesos de reacción química que tienen lugar en un organismo que incluyen la descomposición de material complejo en pequeñas unidades que son fáciles de absorber por el tejido corporal para sustentar la vida. Este proceso le da al organismo energía en el cuerpo.</w:t>
      </w:r>
    </w:p>
    <w:p w14:paraId="32C51525"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Absorción un proceso de inyección de pequeñas partículas en el cuerpo. Inyección de medicamentos en el cuerpo a través de pequeños orificios que se encuentran en los tejidos corporales.</w:t>
      </w:r>
    </w:p>
    <w:p w14:paraId="4DC9035C"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Receptor se refiere al vaso sanguíneo que recibe el medicamento destilado en el cuerpo.</w:t>
      </w:r>
    </w:p>
    <w:p w14:paraId="3392AEDF"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La vida media se refiere al intervalo de tiempo por segundo que requiere un átomo radiactivo para desintegrarse para descomponerse mientras libera energía y partículas. En farmacia es el proceso por el cual los medicamentos se rompen y se desintegran en partículas que son absorbidas por el tejido corporal.</w:t>
      </w:r>
    </w:p>
    <w:p w14:paraId="1D4B81AC"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La interacción farmacológica se produce cuando la administración de un fármaco cambia el resultado clínico del otro. el resultado podría ser una disminución o un aumento de los efectos nocivos o beneficiosos del segundo fármaco.</w:t>
      </w:r>
    </w:p>
    <w:p w14:paraId="74BA6318"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lastRenderedPageBreak/>
        <w:t>2. Relacionar la relación entre los principios básicos de la farmacología farmacocinética, la farmacodinámica, las interacciones farmacológicas. dar un ejemplo</w:t>
      </w:r>
    </w:p>
    <w:p w14:paraId="2D789817" w14:textId="2BB820B3"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La interacción farmacológica es un proceso de tres vías que son: éter deseado, efecto no deseado o reducido. Según</w:t>
      </w:r>
      <w:r w:rsidRPr="0023384D">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Spina, </w:t>
      </w:r>
      <w:proofErr w:type="gramStart"/>
      <w:r>
        <w:rPr>
          <w:rFonts w:ascii="Arial" w:hAnsi="Arial" w:cs="Arial"/>
          <w:color w:val="222222"/>
          <w:sz w:val="20"/>
          <w:szCs w:val="20"/>
          <w:shd w:val="clear" w:color="auto" w:fill="FFFFFF"/>
        </w:rPr>
        <w:t>E</w:t>
      </w:r>
      <w:r>
        <w:rPr>
          <w:rFonts w:ascii="Arial" w:hAnsi="Arial" w:cs="Arial"/>
          <w:color w:val="222222"/>
          <w:sz w:val="20"/>
          <w:szCs w:val="20"/>
          <w:shd w:val="clear" w:color="auto" w:fill="FFFFFF"/>
        </w:rPr>
        <w:t xml:space="preserve">  et</w:t>
      </w:r>
      <w:proofErr w:type="gramEnd"/>
      <w:r>
        <w:rPr>
          <w:rFonts w:ascii="Arial" w:hAnsi="Arial" w:cs="Arial"/>
          <w:color w:val="222222"/>
          <w:sz w:val="20"/>
          <w:szCs w:val="20"/>
          <w:shd w:val="clear" w:color="auto" w:fill="FFFFFF"/>
        </w:rPr>
        <w:t xml:space="preserve"> al </w:t>
      </w:r>
      <w:r w:rsidRPr="0023384D">
        <w:rPr>
          <w:rFonts w:ascii="Times New Roman" w:hAnsi="Times New Roman" w:cs="Times New Roman"/>
          <w:sz w:val="24"/>
          <w:szCs w:val="24"/>
          <w:lang w:val="es-ES" w:eastAsia="en-GB"/>
        </w:rPr>
        <w:t>(2020) informe, la interacción depende del número de fármaco que se toma. Por ejemplo, una persona a la edad de 65 años tiene un alto número de interacciones farmacológicas según la prescripción del farmacéutico. Por otro lado, la interacción farmacológica se produce tanto a nivel farmacocinético como farmacodinámico. En las interacciones farmacocinéticas, hay metabolismo y eliminación en el proceso de enzimas de competencia del citocromo, por ejemplo, antiácido neutralizante y levotiroxina (</w:t>
      </w:r>
      <w:r>
        <w:rPr>
          <w:rFonts w:ascii="Arial" w:hAnsi="Arial" w:cs="Arial"/>
          <w:color w:val="222222"/>
          <w:sz w:val="20"/>
          <w:szCs w:val="20"/>
          <w:shd w:val="clear" w:color="auto" w:fill="FFFFFF"/>
        </w:rPr>
        <w:t>Blanco</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Dorado, S</w:t>
      </w:r>
      <w:r w:rsidRPr="0023384D">
        <w:rPr>
          <w:rFonts w:ascii="Times New Roman" w:hAnsi="Times New Roman" w:cs="Times New Roman"/>
          <w:sz w:val="24"/>
          <w:szCs w:val="24"/>
          <w:lang w:val="es-ES" w:eastAsia="en-GB"/>
        </w:rPr>
        <w:t xml:space="preserve"> </w:t>
      </w:r>
      <w:r w:rsidRPr="0023384D">
        <w:rPr>
          <w:rFonts w:ascii="Times New Roman" w:hAnsi="Times New Roman" w:cs="Times New Roman"/>
          <w:sz w:val="24"/>
          <w:szCs w:val="24"/>
          <w:lang w:val="es-ES" w:eastAsia="en-GB"/>
        </w:rPr>
        <w:t xml:space="preserve">et al 2020). En las interacciones farmacodinámicas coinciden el control de </w:t>
      </w:r>
      <w:proofErr w:type="spellStart"/>
      <w:r w:rsidRPr="0023384D">
        <w:rPr>
          <w:rFonts w:ascii="Times New Roman" w:hAnsi="Times New Roman" w:cs="Times New Roman"/>
          <w:sz w:val="24"/>
          <w:szCs w:val="24"/>
          <w:lang w:val="es-ES" w:eastAsia="en-GB"/>
        </w:rPr>
        <w:t>fenprocumón</w:t>
      </w:r>
      <w:proofErr w:type="spellEnd"/>
      <w:r w:rsidRPr="0023384D">
        <w:rPr>
          <w:rFonts w:ascii="Times New Roman" w:hAnsi="Times New Roman" w:cs="Times New Roman"/>
          <w:sz w:val="24"/>
          <w:szCs w:val="24"/>
          <w:lang w:val="es-ES" w:eastAsia="en-GB"/>
        </w:rPr>
        <w:t xml:space="preserve"> y AINE. El ejemplo es la interacción antagónica.</w:t>
      </w:r>
    </w:p>
    <w:p w14:paraId="066F7450"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3.Enumere los errores más comunes en la administración de medicamentos.</w:t>
      </w:r>
    </w:p>
    <w:p w14:paraId="7CCDDF40"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1. suministro de medicación incorrecta a los pacientes</w:t>
      </w:r>
    </w:p>
    <w:p w14:paraId="00FA9151"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2. prescripción de dosis incorrecta</w:t>
      </w:r>
    </w:p>
    <w:p w14:paraId="27A575AB"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3. desconocimiento de la historia clínica de los pacientes</w:t>
      </w:r>
    </w:p>
    <w:p w14:paraId="119FDF2B" w14:textId="77777777" w:rsidR="0023384D" w:rsidRPr="0023384D" w:rsidRDefault="0023384D" w:rsidP="0023384D">
      <w:pPr>
        <w:spacing w:line="480" w:lineRule="auto"/>
        <w:rPr>
          <w:rFonts w:ascii="Times New Roman" w:hAnsi="Times New Roman" w:cs="Times New Roman"/>
          <w:sz w:val="24"/>
          <w:szCs w:val="24"/>
          <w:lang w:val="es-ES" w:eastAsia="en-GB"/>
        </w:rPr>
      </w:pPr>
      <w:r w:rsidRPr="0023384D">
        <w:rPr>
          <w:rFonts w:ascii="Times New Roman" w:hAnsi="Times New Roman" w:cs="Times New Roman"/>
          <w:sz w:val="24"/>
          <w:szCs w:val="24"/>
          <w:lang w:val="es-ES" w:eastAsia="en-GB"/>
        </w:rPr>
        <w:t>4. prescripción de medicamentos que se supone que no deben usarse juntos</w:t>
      </w:r>
    </w:p>
    <w:p w14:paraId="3D411C85" w14:textId="77777777" w:rsidR="0023384D" w:rsidRPr="0023384D" w:rsidRDefault="0023384D" w:rsidP="0023384D">
      <w:pPr>
        <w:spacing w:line="480" w:lineRule="auto"/>
        <w:rPr>
          <w:rFonts w:ascii="Times New Roman" w:hAnsi="Times New Roman" w:cs="Times New Roman"/>
          <w:sz w:val="24"/>
          <w:szCs w:val="24"/>
          <w:lang w:eastAsia="en-GB"/>
        </w:rPr>
      </w:pPr>
      <w:r w:rsidRPr="0023384D">
        <w:rPr>
          <w:rFonts w:ascii="Times New Roman" w:hAnsi="Times New Roman" w:cs="Times New Roman"/>
          <w:sz w:val="24"/>
          <w:szCs w:val="24"/>
          <w:lang w:val="es-ES" w:eastAsia="en-GB"/>
        </w:rPr>
        <w:t>5. falta de suministro de medicamentos</w:t>
      </w:r>
    </w:p>
    <w:p w14:paraId="2335AB79" w14:textId="77777777" w:rsidR="00162078" w:rsidRDefault="00162078" w:rsidP="00295709">
      <w:pPr>
        <w:rPr>
          <w:rFonts w:ascii="Times New Roman" w:hAnsi="Times New Roman" w:cs="Times New Roman"/>
          <w:sz w:val="24"/>
          <w:szCs w:val="24"/>
        </w:rPr>
      </w:pPr>
    </w:p>
    <w:p w14:paraId="7F190564" w14:textId="77777777" w:rsidR="00162078" w:rsidRDefault="00162078" w:rsidP="00295709">
      <w:pPr>
        <w:rPr>
          <w:rFonts w:ascii="Times New Roman" w:hAnsi="Times New Roman" w:cs="Times New Roman"/>
          <w:sz w:val="24"/>
          <w:szCs w:val="24"/>
        </w:rPr>
      </w:pPr>
    </w:p>
    <w:p w14:paraId="193D9543" w14:textId="77777777" w:rsidR="00162078" w:rsidRDefault="00162078" w:rsidP="00295709">
      <w:pPr>
        <w:rPr>
          <w:rFonts w:ascii="Times New Roman" w:hAnsi="Times New Roman" w:cs="Times New Roman"/>
          <w:sz w:val="24"/>
          <w:szCs w:val="24"/>
        </w:rPr>
      </w:pPr>
    </w:p>
    <w:p w14:paraId="496420BB" w14:textId="77777777" w:rsidR="00162078" w:rsidRDefault="00162078" w:rsidP="00295709">
      <w:pPr>
        <w:rPr>
          <w:rFonts w:ascii="Times New Roman" w:hAnsi="Times New Roman" w:cs="Times New Roman"/>
          <w:sz w:val="24"/>
          <w:szCs w:val="24"/>
        </w:rPr>
      </w:pPr>
    </w:p>
    <w:p w14:paraId="7599DDC1" w14:textId="77777777" w:rsidR="00162078" w:rsidRDefault="00162078" w:rsidP="00295709">
      <w:pPr>
        <w:rPr>
          <w:rFonts w:ascii="Times New Roman" w:hAnsi="Times New Roman" w:cs="Times New Roman"/>
          <w:sz w:val="24"/>
          <w:szCs w:val="24"/>
        </w:rPr>
      </w:pPr>
    </w:p>
    <w:p w14:paraId="012B4F02" w14:textId="77777777" w:rsidR="00162078" w:rsidRDefault="00162078" w:rsidP="00295709">
      <w:pPr>
        <w:rPr>
          <w:rFonts w:ascii="Times New Roman" w:hAnsi="Times New Roman" w:cs="Times New Roman"/>
          <w:sz w:val="24"/>
          <w:szCs w:val="24"/>
        </w:rPr>
      </w:pPr>
    </w:p>
    <w:p w14:paraId="30F3D125" w14:textId="77777777" w:rsidR="00162078" w:rsidRDefault="00162078" w:rsidP="00295709">
      <w:pPr>
        <w:rPr>
          <w:rFonts w:ascii="Times New Roman" w:hAnsi="Times New Roman" w:cs="Times New Roman"/>
          <w:sz w:val="24"/>
          <w:szCs w:val="24"/>
        </w:rPr>
      </w:pPr>
    </w:p>
    <w:p w14:paraId="4A8E33A7" w14:textId="48F78871" w:rsidR="007A2D0E" w:rsidRPr="0023384D" w:rsidRDefault="0023384D" w:rsidP="0023384D">
      <w:pPr>
        <w:pStyle w:val="NoSpacing"/>
        <w:jc w:val="center"/>
        <w:rPr>
          <w:rFonts w:ascii="Times New Roman" w:hAnsi="Times New Roman" w:cs="Times New Roman"/>
          <w:sz w:val="24"/>
          <w:szCs w:val="24"/>
        </w:rPr>
      </w:pPr>
      <w:r>
        <w:lastRenderedPageBreak/>
        <w:br/>
      </w:r>
      <w:proofErr w:type="spellStart"/>
      <w:r w:rsidRPr="0023384D">
        <w:rPr>
          <w:rFonts w:ascii="Times New Roman" w:hAnsi="Times New Roman" w:cs="Times New Roman"/>
          <w:sz w:val="24"/>
          <w:szCs w:val="24"/>
          <w:shd w:val="clear" w:color="auto" w:fill="F8F9FA"/>
        </w:rPr>
        <w:t>R</w:t>
      </w:r>
      <w:r w:rsidRPr="0023384D">
        <w:rPr>
          <w:rFonts w:ascii="Times New Roman" w:hAnsi="Times New Roman" w:cs="Times New Roman"/>
          <w:sz w:val="24"/>
          <w:szCs w:val="24"/>
          <w:shd w:val="clear" w:color="auto" w:fill="F8F9FA"/>
        </w:rPr>
        <w:t>eferencia</w:t>
      </w:r>
      <w:proofErr w:type="spellEnd"/>
    </w:p>
    <w:p w14:paraId="053C668A" w14:textId="5485FAE9" w:rsidR="00624089" w:rsidRPr="0023384D" w:rsidRDefault="0023384D" w:rsidP="0023384D">
      <w:pPr>
        <w:spacing w:line="480" w:lineRule="auto"/>
        <w:ind w:left="720" w:hanging="720"/>
        <w:rPr>
          <w:rFonts w:ascii="Times New Roman" w:hAnsi="Times New Roman" w:cs="Times New Roman"/>
          <w:color w:val="222222"/>
          <w:sz w:val="24"/>
          <w:szCs w:val="24"/>
          <w:shd w:val="clear" w:color="auto" w:fill="FFFFFF"/>
        </w:rPr>
      </w:pPr>
      <w:r w:rsidRPr="0023384D">
        <w:rPr>
          <w:rFonts w:ascii="Times New Roman" w:hAnsi="Times New Roman" w:cs="Times New Roman"/>
          <w:color w:val="222222"/>
          <w:sz w:val="24"/>
          <w:szCs w:val="24"/>
          <w:shd w:val="clear" w:color="auto" w:fill="FFFFFF"/>
        </w:rPr>
        <w:t xml:space="preserve">Blanco‐Dorado, S., </w:t>
      </w:r>
      <w:proofErr w:type="spellStart"/>
      <w:r w:rsidRPr="0023384D">
        <w:rPr>
          <w:rFonts w:ascii="Times New Roman" w:hAnsi="Times New Roman" w:cs="Times New Roman"/>
          <w:color w:val="222222"/>
          <w:sz w:val="24"/>
          <w:szCs w:val="24"/>
          <w:shd w:val="clear" w:color="auto" w:fill="FFFFFF"/>
        </w:rPr>
        <w:t>Maroñas</w:t>
      </w:r>
      <w:proofErr w:type="spellEnd"/>
      <w:r w:rsidRPr="0023384D">
        <w:rPr>
          <w:rFonts w:ascii="Times New Roman" w:hAnsi="Times New Roman" w:cs="Times New Roman"/>
          <w:color w:val="222222"/>
          <w:sz w:val="24"/>
          <w:szCs w:val="24"/>
          <w:shd w:val="clear" w:color="auto" w:fill="FFFFFF"/>
        </w:rPr>
        <w:t xml:space="preserve">, O., </w:t>
      </w:r>
      <w:proofErr w:type="spellStart"/>
      <w:r w:rsidRPr="0023384D">
        <w:rPr>
          <w:rFonts w:ascii="Times New Roman" w:hAnsi="Times New Roman" w:cs="Times New Roman"/>
          <w:color w:val="222222"/>
          <w:sz w:val="24"/>
          <w:szCs w:val="24"/>
          <w:shd w:val="clear" w:color="auto" w:fill="FFFFFF"/>
        </w:rPr>
        <w:t>Latorre‐Pellicer</w:t>
      </w:r>
      <w:proofErr w:type="spellEnd"/>
      <w:r w:rsidRPr="0023384D">
        <w:rPr>
          <w:rFonts w:ascii="Times New Roman" w:hAnsi="Times New Roman" w:cs="Times New Roman"/>
          <w:color w:val="222222"/>
          <w:sz w:val="24"/>
          <w:szCs w:val="24"/>
          <w:shd w:val="clear" w:color="auto" w:fill="FFFFFF"/>
        </w:rPr>
        <w:t xml:space="preserve">, A., Rodriguez </w:t>
      </w:r>
      <w:proofErr w:type="spellStart"/>
      <w:r w:rsidRPr="0023384D">
        <w:rPr>
          <w:rFonts w:ascii="Times New Roman" w:hAnsi="Times New Roman" w:cs="Times New Roman"/>
          <w:color w:val="222222"/>
          <w:sz w:val="24"/>
          <w:szCs w:val="24"/>
          <w:shd w:val="clear" w:color="auto" w:fill="FFFFFF"/>
        </w:rPr>
        <w:t>Jato</w:t>
      </w:r>
      <w:proofErr w:type="spellEnd"/>
      <w:r w:rsidRPr="0023384D">
        <w:rPr>
          <w:rFonts w:ascii="Times New Roman" w:hAnsi="Times New Roman" w:cs="Times New Roman"/>
          <w:color w:val="222222"/>
          <w:sz w:val="24"/>
          <w:szCs w:val="24"/>
          <w:shd w:val="clear" w:color="auto" w:fill="FFFFFF"/>
        </w:rPr>
        <w:t>, M. T., López‐</w:t>
      </w:r>
      <w:proofErr w:type="spellStart"/>
      <w:r w:rsidRPr="0023384D">
        <w:rPr>
          <w:rFonts w:ascii="Times New Roman" w:hAnsi="Times New Roman" w:cs="Times New Roman"/>
          <w:color w:val="222222"/>
          <w:sz w:val="24"/>
          <w:szCs w:val="24"/>
          <w:shd w:val="clear" w:color="auto" w:fill="FFFFFF"/>
        </w:rPr>
        <w:t>Vizcaíno</w:t>
      </w:r>
      <w:proofErr w:type="spellEnd"/>
      <w:r w:rsidRPr="0023384D">
        <w:rPr>
          <w:rFonts w:ascii="Times New Roman" w:hAnsi="Times New Roman" w:cs="Times New Roman"/>
          <w:color w:val="222222"/>
          <w:sz w:val="24"/>
          <w:szCs w:val="24"/>
          <w:shd w:val="clear" w:color="auto" w:fill="FFFFFF"/>
        </w:rPr>
        <w:t>, A., Gómez Márquez, A., ... &amp; Fernández‐</w:t>
      </w:r>
      <w:proofErr w:type="spellStart"/>
      <w:r w:rsidRPr="0023384D">
        <w:rPr>
          <w:rFonts w:ascii="Times New Roman" w:hAnsi="Times New Roman" w:cs="Times New Roman"/>
          <w:color w:val="222222"/>
          <w:sz w:val="24"/>
          <w:szCs w:val="24"/>
          <w:shd w:val="clear" w:color="auto" w:fill="FFFFFF"/>
        </w:rPr>
        <w:t>Ferreiro</w:t>
      </w:r>
      <w:proofErr w:type="spellEnd"/>
      <w:r w:rsidRPr="0023384D">
        <w:rPr>
          <w:rFonts w:ascii="Times New Roman" w:hAnsi="Times New Roman" w:cs="Times New Roman"/>
          <w:color w:val="222222"/>
          <w:sz w:val="24"/>
          <w:szCs w:val="24"/>
          <w:shd w:val="clear" w:color="auto" w:fill="FFFFFF"/>
        </w:rPr>
        <w:t xml:space="preserve">, A. (2020). Impact of CYP2C19 genotype and drug interactions on voriconazole plasma concentrations: a </w:t>
      </w:r>
      <w:proofErr w:type="spellStart"/>
      <w:r w:rsidRPr="0023384D">
        <w:rPr>
          <w:rFonts w:ascii="Times New Roman" w:hAnsi="Times New Roman" w:cs="Times New Roman"/>
          <w:color w:val="222222"/>
          <w:sz w:val="24"/>
          <w:szCs w:val="24"/>
          <w:shd w:val="clear" w:color="auto" w:fill="FFFFFF"/>
        </w:rPr>
        <w:t>spain</w:t>
      </w:r>
      <w:proofErr w:type="spellEnd"/>
      <w:r w:rsidRPr="0023384D">
        <w:rPr>
          <w:rFonts w:ascii="Times New Roman" w:hAnsi="Times New Roman" w:cs="Times New Roman"/>
          <w:color w:val="222222"/>
          <w:sz w:val="24"/>
          <w:szCs w:val="24"/>
          <w:shd w:val="clear" w:color="auto" w:fill="FFFFFF"/>
        </w:rPr>
        <w:t xml:space="preserve"> pharmacogenetic‐pharmacokinetic prospective </w:t>
      </w:r>
      <w:proofErr w:type="spellStart"/>
      <w:r w:rsidRPr="0023384D">
        <w:rPr>
          <w:rFonts w:ascii="Times New Roman" w:hAnsi="Times New Roman" w:cs="Times New Roman"/>
          <w:color w:val="222222"/>
          <w:sz w:val="24"/>
          <w:szCs w:val="24"/>
          <w:shd w:val="clear" w:color="auto" w:fill="FFFFFF"/>
        </w:rPr>
        <w:t>multicenter</w:t>
      </w:r>
      <w:proofErr w:type="spellEnd"/>
      <w:r w:rsidRPr="0023384D">
        <w:rPr>
          <w:rFonts w:ascii="Times New Roman" w:hAnsi="Times New Roman" w:cs="Times New Roman"/>
          <w:color w:val="222222"/>
          <w:sz w:val="24"/>
          <w:szCs w:val="24"/>
          <w:shd w:val="clear" w:color="auto" w:fill="FFFFFF"/>
        </w:rPr>
        <w:t xml:space="preserve"> study. </w:t>
      </w:r>
      <w:r w:rsidRPr="0023384D">
        <w:rPr>
          <w:rFonts w:ascii="Times New Roman" w:hAnsi="Times New Roman" w:cs="Times New Roman"/>
          <w:i/>
          <w:iCs/>
          <w:color w:val="222222"/>
          <w:sz w:val="24"/>
          <w:szCs w:val="24"/>
          <w:shd w:val="clear" w:color="auto" w:fill="FFFFFF"/>
        </w:rPr>
        <w:t>Pharmacotherapy: The Journal of Human Pharmacology and Drug Therapy</w:t>
      </w:r>
      <w:r w:rsidRPr="0023384D">
        <w:rPr>
          <w:rFonts w:ascii="Times New Roman" w:hAnsi="Times New Roman" w:cs="Times New Roman"/>
          <w:color w:val="222222"/>
          <w:sz w:val="24"/>
          <w:szCs w:val="24"/>
          <w:shd w:val="clear" w:color="auto" w:fill="FFFFFF"/>
        </w:rPr>
        <w:t>, </w:t>
      </w:r>
      <w:r w:rsidRPr="0023384D">
        <w:rPr>
          <w:rFonts w:ascii="Times New Roman" w:hAnsi="Times New Roman" w:cs="Times New Roman"/>
          <w:i/>
          <w:iCs/>
          <w:color w:val="222222"/>
          <w:sz w:val="24"/>
          <w:szCs w:val="24"/>
          <w:shd w:val="clear" w:color="auto" w:fill="FFFFFF"/>
        </w:rPr>
        <w:t>40</w:t>
      </w:r>
      <w:r w:rsidRPr="0023384D">
        <w:rPr>
          <w:rFonts w:ascii="Times New Roman" w:hAnsi="Times New Roman" w:cs="Times New Roman"/>
          <w:color w:val="222222"/>
          <w:sz w:val="24"/>
          <w:szCs w:val="24"/>
          <w:shd w:val="clear" w:color="auto" w:fill="FFFFFF"/>
        </w:rPr>
        <w:t>(1), 17-25.</w:t>
      </w:r>
    </w:p>
    <w:p w14:paraId="32F78CE5" w14:textId="77F7DDAB" w:rsidR="0023384D" w:rsidRPr="0023384D" w:rsidRDefault="0023384D" w:rsidP="0023384D">
      <w:pPr>
        <w:spacing w:line="480" w:lineRule="auto"/>
        <w:ind w:left="720" w:hanging="720"/>
        <w:rPr>
          <w:rFonts w:ascii="Times New Roman" w:hAnsi="Times New Roman" w:cs="Times New Roman"/>
          <w:color w:val="222222"/>
          <w:sz w:val="24"/>
          <w:szCs w:val="24"/>
          <w:shd w:val="clear" w:color="auto" w:fill="FFFFFF"/>
        </w:rPr>
      </w:pPr>
      <w:r w:rsidRPr="0023384D">
        <w:rPr>
          <w:rFonts w:ascii="Times New Roman" w:hAnsi="Times New Roman" w:cs="Times New Roman"/>
          <w:color w:val="222222"/>
          <w:sz w:val="24"/>
          <w:szCs w:val="24"/>
          <w:shd w:val="clear" w:color="auto" w:fill="FFFFFF"/>
        </w:rPr>
        <w:t>Iniesta-</w:t>
      </w:r>
      <w:proofErr w:type="spellStart"/>
      <w:r w:rsidRPr="0023384D">
        <w:rPr>
          <w:rFonts w:ascii="Times New Roman" w:hAnsi="Times New Roman" w:cs="Times New Roman"/>
          <w:color w:val="222222"/>
          <w:sz w:val="24"/>
          <w:szCs w:val="24"/>
          <w:shd w:val="clear" w:color="auto" w:fill="FFFFFF"/>
        </w:rPr>
        <w:t>Navalón</w:t>
      </w:r>
      <w:proofErr w:type="spellEnd"/>
      <w:r w:rsidRPr="0023384D">
        <w:rPr>
          <w:rFonts w:ascii="Times New Roman" w:hAnsi="Times New Roman" w:cs="Times New Roman"/>
          <w:color w:val="222222"/>
          <w:sz w:val="24"/>
          <w:szCs w:val="24"/>
          <w:shd w:val="clear" w:color="auto" w:fill="FFFFFF"/>
        </w:rPr>
        <w:t xml:space="preserve">, C., </w:t>
      </w:r>
      <w:proofErr w:type="spellStart"/>
      <w:r w:rsidRPr="0023384D">
        <w:rPr>
          <w:rFonts w:ascii="Times New Roman" w:hAnsi="Times New Roman" w:cs="Times New Roman"/>
          <w:color w:val="222222"/>
          <w:sz w:val="24"/>
          <w:szCs w:val="24"/>
          <w:shd w:val="clear" w:color="auto" w:fill="FFFFFF"/>
        </w:rPr>
        <w:t>Gascón-Cánovas</w:t>
      </w:r>
      <w:proofErr w:type="spellEnd"/>
      <w:r w:rsidRPr="0023384D">
        <w:rPr>
          <w:rFonts w:ascii="Times New Roman" w:hAnsi="Times New Roman" w:cs="Times New Roman"/>
          <w:color w:val="222222"/>
          <w:sz w:val="24"/>
          <w:szCs w:val="24"/>
          <w:shd w:val="clear" w:color="auto" w:fill="FFFFFF"/>
        </w:rPr>
        <w:t xml:space="preserve">, J. J., Gama, Z. A. D. S., Sánchez-Ruiz, J. F., Gutiérrez-Estrada, E. A., De-la-Cruz-Sánchez, E., &amp; Harrington-Fernández, O. (2019). Potential and </w:t>
      </w:r>
      <w:proofErr w:type="gramStart"/>
      <w:r w:rsidRPr="0023384D">
        <w:rPr>
          <w:rFonts w:ascii="Times New Roman" w:hAnsi="Times New Roman" w:cs="Times New Roman"/>
          <w:color w:val="222222"/>
          <w:sz w:val="24"/>
          <w:szCs w:val="24"/>
          <w:shd w:val="clear" w:color="auto" w:fill="FFFFFF"/>
        </w:rPr>
        <w:t>clinical</w:t>
      </w:r>
      <w:proofErr w:type="gramEnd"/>
      <w:r w:rsidRPr="0023384D">
        <w:rPr>
          <w:rFonts w:ascii="Times New Roman" w:hAnsi="Times New Roman" w:cs="Times New Roman"/>
          <w:color w:val="222222"/>
          <w:sz w:val="24"/>
          <w:szCs w:val="24"/>
          <w:shd w:val="clear" w:color="auto" w:fill="FFFFFF"/>
        </w:rPr>
        <w:t xml:space="preserve"> relevant drug-drug interactions among elderly from nursing homes: a multicentre study in Murcia, Spain. </w:t>
      </w:r>
      <w:proofErr w:type="spellStart"/>
      <w:r w:rsidRPr="0023384D">
        <w:rPr>
          <w:rFonts w:ascii="Times New Roman" w:hAnsi="Times New Roman" w:cs="Times New Roman"/>
          <w:i/>
          <w:iCs/>
          <w:color w:val="222222"/>
          <w:sz w:val="24"/>
          <w:szCs w:val="24"/>
          <w:shd w:val="clear" w:color="auto" w:fill="FFFFFF"/>
        </w:rPr>
        <w:t>Ciencia</w:t>
      </w:r>
      <w:proofErr w:type="spellEnd"/>
      <w:r w:rsidRPr="0023384D">
        <w:rPr>
          <w:rFonts w:ascii="Times New Roman" w:hAnsi="Times New Roman" w:cs="Times New Roman"/>
          <w:i/>
          <w:iCs/>
          <w:color w:val="222222"/>
          <w:sz w:val="24"/>
          <w:szCs w:val="24"/>
          <w:shd w:val="clear" w:color="auto" w:fill="FFFFFF"/>
        </w:rPr>
        <w:t xml:space="preserve"> &amp; </w:t>
      </w:r>
      <w:proofErr w:type="spellStart"/>
      <w:r w:rsidRPr="0023384D">
        <w:rPr>
          <w:rFonts w:ascii="Times New Roman" w:hAnsi="Times New Roman" w:cs="Times New Roman"/>
          <w:i/>
          <w:iCs/>
          <w:color w:val="222222"/>
          <w:sz w:val="24"/>
          <w:szCs w:val="24"/>
          <w:shd w:val="clear" w:color="auto" w:fill="FFFFFF"/>
        </w:rPr>
        <w:t>saude</w:t>
      </w:r>
      <w:proofErr w:type="spellEnd"/>
      <w:r w:rsidRPr="0023384D">
        <w:rPr>
          <w:rFonts w:ascii="Times New Roman" w:hAnsi="Times New Roman" w:cs="Times New Roman"/>
          <w:i/>
          <w:iCs/>
          <w:color w:val="222222"/>
          <w:sz w:val="24"/>
          <w:szCs w:val="24"/>
          <w:shd w:val="clear" w:color="auto" w:fill="FFFFFF"/>
        </w:rPr>
        <w:t xml:space="preserve"> </w:t>
      </w:r>
      <w:proofErr w:type="spellStart"/>
      <w:r w:rsidRPr="0023384D">
        <w:rPr>
          <w:rFonts w:ascii="Times New Roman" w:hAnsi="Times New Roman" w:cs="Times New Roman"/>
          <w:i/>
          <w:iCs/>
          <w:color w:val="222222"/>
          <w:sz w:val="24"/>
          <w:szCs w:val="24"/>
          <w:shd w:val="clear" w:color="auto" w:fill="FFFFFF"/>
        </w:rPr>
        <w:t>coletiva</w:t>
      </w:r>
      <w:proofErr w:type="spellEnd"/>
      <w:r w:rsidRPr="0023384D">
        <w:rPr>
          <w:rFonts w:ascii="Times New Roman" w:hAnsi="Times New Roman" w:cs="Times New Roman"/>
          <w:color w:val="222222"/>
          <w:sz w:val="24"/>
          <w:szCs w:val="24"/>
          <w:shd w:val="clear" w:color="auto" w:fill="FFFFFF"/>
        </w:rPr>
        <w:t>, </w:t>
      </w:r>
      <w:r w:rsidRPr="0023384D">
        <w:rPr>
          <w:rFonts w:ascii="Times New Roman" w:hAnsi="Times New Roman" w:cs="Times New Roman"/>
          <w:i/>
          <w:iCs/>
          <w:color w:val="222222"/>
          <w:sz w:val="24"/>
          <w:szCs w:val="24"/>
          <w:shd w:val="clear" w:color="auto" w:fill="FFFFFF"/>
        </w:rPr>
        <w:t>24</w:t>
      </w:r>
      <w:r w:rsidRPr="0023384D">
        <w:rPr>
          <w:rFonts w:ascii="Times New Roman" w:hAnsi="Times New Roman" w:cs="Times New Roman"/>
          <w:color w:val="222222"/>
          <w:sz w:val="24"/>
          <w:szCs w:val="24"/>
          <w:shd w:val="clear" w:color="auto" w:fill="FFFFFF"/>
        </w:rPr>
        <w:t>, 1895-1902.</w:t>
      </w:r>
    </w:p>
    <w:p w14:paraId="7AFFD9F6" w14:textId="01713846" w:rsidR="0023384D" w:rsidRPr="0023384D" w:rsidRDefault="0023384D" w:rsidP="0023384D">
      <w:pPr>
        <w:spacing w:line="480" w:lineRule="auto"/>
        <w:ind w:left="720" w:hanging="720"/>
        <w:rPr>
          <w:rFonts w:ascii="Times New Roman" w:hAnsi="Times New Roman" w:cs="Times New Roman"/>
          <w:color w:val="222222"/>
          <w:sz w:val="24"/>
          <w:szCs w:val="24"/>
          <w:shd w:val="clear" w:color="auto" w:fill="FFFFFF"/>
        </w:rPr>
      </w:pPr>
      <w:proofErr w:type="spellStart"/>
      <w:r w:rsidRPr="0023384D">
        <w:rPr>
          <w:rFonts w:ascii="Times New Roman" w:hAnsi="Times New Roman" w:cs="Times New Roman"/>
          <w:color w:val="222222"/>
          <w:sz w:val="24"/>
          <w:szCs w:val="24"/>
          <w:shd w:val="clear" w:color="auto" w:fill="FFFFFF"/>
        </w:rPr>
        <w:t>Roncero</w:t>
      </w:r>
      <w:proofErr w:type="spellEnd"/>
      <w:r w:rsidRPr="0023384D">
        <w:rPr>
          <w:rFonts w:ascii="Times New Roman" w:hAnsi="Times New Roman" w:cs="Times New Roman"/>
          <w:color w:val="222222"/>
          <w:sz w:val="24"/>
          <w:szCs w:val="24"/>
          <w:shd w:val="clear" w:color="auto" w:fill="FFFFFF"/>
        </w:rPr>
        <w:t>, C., Villegas, J. L., Martínez-</w:t>
      </w:r>
      <w:proofErr w:type="spellStart"/>
      <w:r w:rsidRPr="0023384D">
        <w:rPr>
          <w:rFonts w:ascii="Times New Roman" w:hAnsi="Times New Roman" w:cs="Times New Roman"/>
          <w:color w:val="222222"/>
          <w:sz w:val="24"/>
          <w:szCs w:val="24"/>
          <w:shd w:val="clear" w:color="auto" w:fill="FFFFFF"/>
        </w:rPr>
        <w:t>Rebollar</w:t>
      </w:r>
      <w:proofErr w:type="spellEnd"/>
      <w:r w:rsidRPr="0023384D">
        <w:rPr>
          <w:rFonts w:ascii="Times New Roman" w:hAnsi="Times New Roman" w:cs="Times New Roman"/>
          <w:color w:val="222222"/>
          <w:sz w:val="24"/>
          <w:szCs w:val="24"/>
          <w:shd w:val="clear" w:color="auto" w:fill="FFFFFF"/>
        </w:rPr>
        <w:t>, M., &amp; Buti, M. (2018). The pharmacological interactions between direct-acting antivirals for the treatment of chronic hepatitis c and psychotropic drugs. </w:t>
      </w:r>
      <w:r w:rsidRPr="0023384D">
        <w:rPr>
          <w:rFonts w:ascii="Times New Roman" w:hAnsi="Times New Roman" w:cs="Times New Roman"/>
          <w:i/>
          <w:iCs/>
          <w:color w:val="222222"/>
          <w:sz w:val="24"/>
          <w:szCs w:val="24"/>
          <w:shd w:val="clear" w:color="auto" w:fill="FFFFFF"/>
        </w:rPr>
        <w:t>Expert review of clinical pharmacology</w:t>
      </w:r>
      <w:r w:rsidRPr="0023384D">
        <w:rPr>
          <w:rFonts w:ascii="Times New Roman" w:hAnsi="Times New Roman" w:cs="Times New Roman"/>
          <w:color w:val="222222"/>
          <w:sz w:val="24"/>
          <w:szCs w:val="24"/>
          <w:shd w:val="clear" w:color="auto" w:fill="FFFFFF"/>
        </w:rPr>
        <w:t>, </w:t>
      </w:r>
      <w:r w:rsidRPr="0023384D">
        <w:rPr>
          <w:rFonts w:ascii="Times New Roman" w:hAnsi="Times New Roman" w:cs="Times New Roman"/>
          <w:i/>
          <w:iCs/>
          <w:color w:val="222222"/>
          <w:sz w:val="24"/>
          <w:szCs w:val="24"/>
          <w:shd w:val="clear" w:color="auto" w:fill="FFFFFF"/>
        </w:rPr>
        <w:t>11</w:t>
      </w:r>
      <w:r w:rsidRPr="0023384D">
        <w:rPr>
          <w:rFonts w:ascii="Times New Roman" w:hAnsi="Times New Roman" w:cs="Times New Roman"/>
          <w:color w:val="222222"/>
          <w:sz w:val="24"/>
          <w:szCs w:val="24"/>
          <w:shd w:val="clear" w:color="auto" w:fill="FFFFFF"/>
        </w:rPr>
        <w:t>(10), 999-1030.</w:t>
      </w:r>
    </w:p>
    <w:p w14:paraId="0F6D59B6" w14:textId="0C4A77C8" w:rsidR="0023384D" w:rsidRPr="0023384D" w:rsidRDefault="0023384D" w:rsidP="0023384D">
      <w:pPr>
        <w:spacing w:line="480" w:lineRule="auto"/>
        <w:ind w:left="720" w:hanging="720"/>
        <w:rPr>
          <w:rFonts w:ascii="Times New Roman" w:hAnsi="Times New Roman" w:cs="Times New Roman"/>
          <w:sz w:val="24"/>
          <w:szCs w:val="24"/>
        </w:rPr>
      </w:pPr>
      <w:r w:rsidRPr="0023384D">
        <w:rPr>
          <w:rFonts w:ascii="Times New Roman" w:hAnsi="Times New Roman" w:cs="Times New Roman"/>
          <w:color w:val="222222"/>
          <w:sz w:val="24"/>
          <w:szCs w:val="24"/>
          <w:shd w:val="clear" w:color="auto" w:fill="FFFFFF"/>
        </w:rPr>
        <w:t>Spina, E., Barbieri, M. A., Cicala, G., Bruno, A., &amp; de Leon, J. (2020). Clinically relevant drug interactions between newer antidepressants and oral anticoagulants. </w:t>
      </w:r>
      <w:r w:rsidRPr="0023384D">
        <w:rPr>
          <w:rFonts w:ascii="Times New Roman" w:hAnsi="Times New Roman" w:cs="Times New Roman"/>
          <w:i/>
          <w:iCs/>
          <w:color w:val="222222"/>
          <w:sz w:val="24"/>
          <w:szCs w:val="24"/>
          <w:shd w:val="clear" w:color="auto" w:fill="FFFFFF"/>
        </w:rPr>
        <w:t>Expert Opinion on Drug Metabolism &amp; Toxicology</w:t>
      </w:r>
      <w:r w:rsidRPr="0023384D">
        <w:rPr>
          <w:rFonts w:ascii="Times New Roman" w:hAnsi="Times New Roman" w:cs="Times New Roman"/>
          <w:color w:val="222222"/>
          <w:sz w:val="24"/>
          <w:szCs w:val="24"/>
          <w:shd w:val="clear" w:color="auto" w:fill="FFFFFF"/>
        </w:rPr>
        <w:t>, </w:t>
      </w:r>
      <w:r w:rsidRPr="0023384D">
        <w:rPr>
          <w:rFonts w:ascii="Times New Roman" w:hAnsi="Times New Roman" w:cs="Times New Roman"/>
          <w:i/>
          <w:iCs/>
          <w:color w:val="222222"/>
          <w:sz w:val="24"/>
          <w:szCs w:val="24"/>
          <w:shd w:val="clear" w:color="auto" w:fill="FFFFFF"/>
        </w:rPr>
        <w:t>16</w:t>
      </w:r>
      <w:r w:rsidRPr="0023384D">
        <w:rPr>
          <w:rFonts w:ascii="Times New Roman" w:hAnsi="Times New Roman" w:cs="Times New Roman"/>
          <w:color w:val="222222"/>
          <w:sz w:val="24"/>
          <w:szCs w:val="24"/>
          <w:shd w:val="clear" w:color="auto" w:fill="FFFFFF"/>
        </w:rPr>
        <w:t>(1), 31-44.</w:t>
      </w:r>
    </w:p>
    <w:sectPr w:rsidR="0023384D" w:rsidRPr="0023384D" w:rsidSect="0029570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AEF9C" w14:textId="77777777" w:rsidR="00094C6E" w:rsidRDefault="00094C6E" w:rsidP="00295709">
      <w:pPr>
        <w:spacing w:after="0" w:line="240" w:lineRule="auto"/>
      </w:pPr>
      <w:r>
        <w:separator/>
      </w:r>
    </w:p>
  </w:endnote>
  <w:endnote w:type="continuationSeparator" w:id="0">
    <w:p w14:paraId="0EF93585" w14:textId="77777777" w:rsidR="00094C6E" w:rsidRDefault="00094C6E" w:rsidP="0029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A1C57A" w14:textId="77777777" w:rsidR="00094C6E" w:rsidRDefault="00094C6E" w:rsidP="00295709">
      <w:pPr>
        <w:spacing w:after="0" w:line="240" w:lineRule="auto"/>
      </w:pPr>
      <w:r>
        <w:separator/>
      </w:r>
    </w:p>
  </w:footnote>
  <w:footnote w:type="continuationSeparator" w:id="0">
    <w:p w14:paraId="4EAB5B1D" w14:textId="77777777" w:rsidR="00094C6E" w:rsidRDefault="00094C6E" w:rsidP="00295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1055609"/>
      <w:docPartObj>
        <w:docPartGallery w:val="Page Numbers (Top of Page)"/>
        <w:docPartUnique/>
      </w:docPartObj>
    </w:sdtPr>
    <w:sdtEndPr>
      <w:rPr>
        <w:noProof/>
      </w:rPr>
    </w:sdtEndPr>
    <w:sdtContent>
      <w:p w14:paraId="3702247D" w14:textId="666C8D12" w:rsidR="00295709" w:rsidRDefault="0023384D">
        <w:pPr>
          <w:pStyle w:val="Header"/>
          <w:jc w:val="right"/>
        </w:pPr>
        <w:r w:rsidRPr="0023384D">
          <w:rPr>
            <w:rFonts w:ascii="Times New Roman" w:hAnsi="Times New Roman" w:cs="Times New Roman"/>
            <w:color w:val="202124"/>
            <w:sz w:val="24"/>
            <w:szCs w:val="24"/>
            <w:lang w:val="es-ES"/>
          </w:rPr>
          <w:t>DEFINICIÓN DE TÉRMINO</w:t>
        </w:r>
        <w:r>
          <w:rPr>
            <w:rFonts w:ascii="Times New Roman" w:hAnsi="Times New Roman" w:cs="Times New Roman"/>
            <w:color w:val="202124"/>
            <w:sz w:val="24"/>
            <w:szCs w:val="24"/>
            <w:lang w:val="es-ES"/>
          </w:rPr>
          <w:t xml:space="preserve">S    </w:t>
        </w:r>
        <w:r w:rsidR="00C352A5">
          <w:rPr>
            <w:rFonts w:ascii="Times New Roman" w:hAnsi="Times New Roman" w:cs="Times New Roman"/>
            <w:color w:val="202124"/>
            <w:sz w:val="24"/>
            <w:szCs w:val="24"/>
            <w:lang w:val="es-ES"/>
          </w:rPr>
          <w:t xml:space="preserve">                                                 </w:t>
        </w:r>
        <w:r>
          <w:rPr>
            <w:rFonts w:ascii="Times New Roman" w:hAnsi="Times New Roman" w:cs="Times New Roman"/>
            <w:color w:val="202124"/>
            <w:sz w:val="24"/>
            <w:szCs w:val="24"/>
            <w:lang w:val="es-ES"/>
          </w:rPr>
          <w:t xml:space="preserve">                                            </w:t>
        </w:r>
        <w:r w:rsidR="00295709">
          <w:fldChar w:fldCharType="begin"/>
        </w:r>
        <w:r w:rsidR="00295709">
          <w:instrText xml:space="preserve"> PAGE   \* MERGEFORMAT </w:instrText>
        </w:r>
        <w:r w:rsidR="00295709">
          <w:fldChar w:fldCharType="separate"/>
        </w:r>
        <w:r w:rsidR="00295709">
          <w:rPr>
            <w:noProof/>
          </w:rPr>
          <w:t>2</w:t>
        </w:r>
        <w:r w:rsidR="00295709">
          <w:rPr>
            <w:noProof/>
          </w:rPr>
          <w:fldChar w:fldCharType="end"/>
        </w:r>
      </w:p>
    </w:sdtContent>
  </w:sdt>
  <w:p w14:paraId="45BE8B1D" w14:textId="77777777" w:rsidR="00295709" w:rsidRDefault="00295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ED3EC" w14:textId="5B985BFB" w:rsidR="00295709" w:rsidRPr="0023384D" w:rsidRDefault="0023384D" w:rsidP="0023384D">
    <w:pPr>
      <w:pStyle w:val="HTMLPreformatted"/>
      <w:shd w:val="clear" w:color="auto" w:fill="F8F9FA"/>
      <w:spacing w:line="540" w:lineRule="atLeast"/>
      <w:rPr>
        <w:rFonts w:ascii="Times New Roman" w:hAnsi="Times New Roman" w:cs="Times New Roman"/>
        <w:color w:val="202124"/>
        <w:sz w:val="24"/>
        <w:szCs w:val="24"/>
      </w:rPr>
    </w:pPr>
    <w:r w:rsidRPr="0023384D">
      <w:rPr>
        <w:rFonts w:ascii="Times New Roman" w:hAnsi="Times New Roman" w:cs="Times New Roman"/>
        <w:color w:val="202124"/>
        <w:sz w:val="24"/>
        <w:szCs w:val="24"/>
        <w:lang w:val="es-ES"/>
      </w:rPr>
      <w:t>Cabeza corriente:</w:t>
    </w:r>
    <w:r>
      <w:rPr>
        <w:rFonts w:ascii="Times New Roman" w:hAnsi="Times New Roman" w:cs="Times New Roman"/>
        <w:color w:val="202124"/>
        <w:sz w:val="24"/>
        <w:szCs w:val="24"/>
      </w:rPr>
      <w:t xml:space="preserve">                     </w:t>
    </w:r>
    <w:r w:rsidRPr="0023384D">
      <w:rPr>
        <w:rFonts w:ascii="Times New Roman" w:hAnsi="Times New Roman" w:cs="Times New Roman"/>
        <w:color w:val="202124"/>
        <w:sz w:val="24"/>
        <w:szCs w:val="24"/>
        <w:lang w:val="es-ES"/>
      </w:rPr>
      <w:t>DEFINICIÓN DE TÉRMINO</w:t>
    </w:r>
    <w:r>
      <w:rPr>
        <w:rFonts w:ascii="Times New Roman" w:hAnsi="Times New Roman" w:cs="Times New Roman"/>
        <w:color w:val="202124"/>
        <w:sz w:val="24"/>
        <w:szCs w:val="24"/>
        <w:lang w:val="es-ES"/>
      </w:rPr>
      <w:t xml:space="preserve">S                                                </w:t>
    </w:r>
    <w:r w:rsidR="00295709">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A925DF"/>
    <w:multiLevelType w:val="hybridMultilevel"/>
    <w:tmpl w:val="475CF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709"/>
    <w:rsid w:val="00094C6E"/>
    <w:rsid w:val="00162078"/>
    <w:rsid w:val="0023384D"/>
    <w:rsid w:val="00295709"/>
    <w:rsid w:val="003C145A"/>
    <w:rsid w:val="00624089"/>
    <w:rsid w:val="00665BDC"/>
    <w:rsid w:val="0067410E"/>
    <w:rsid w:val="007A2D0E"/>
    <w:rsid w:val="00997B14"/>
    <w:rsid w:val="00A264F7"/>
    <w:rsid w:val="00A74100"/>
    <w:rsid w:val="00C352A5"/>
    <w:rsid w:val="00E64ECE"/>
    <w:rsid w:val="00F33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CC71"/>
  <w15:chartTrackingRefBased/>
  <w15:docId w15:val="{9F61A923-0427-4255-9BED-2B0DF573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709"/>
  </w:style>
  <w:style w:type="paragraph" w:styleId="Footer">
    <w:name w:val="footer"/>
    <w:basedOn w:val="Normal"/>
    <w:link w:val="FooterChar"/>
    <w:uiPriority w:val="99"/>
    <w:unhideWhenUsed/>
    <w:rsid w:val="00295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709"/>
  </w:style>
  <w:style w:type="paragraph" w:styleId="HTMLPreformatted">
    <w:name w:val="HTML Preformatted"/>
    <w:basedOn w:val="Normal"/>
    <w:link w:val="HTMLPreformattedChar"/>
    <w:uiPriority w:val="99"/>
    <w:unhideWhenUsed/>
    <w:rsid w:val="00A26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A264F7"/>
    <w:rPr>
      <w:rFonts w:ascii="Courier New" w:eastAsia="Times New Roman" w:hAnsi="Courier New" w:cs="Courier New"/>
      <w:sz w:val="20"/>
      <w:szCs w:val="20"/>
      <w:lang w:eastAsia="en-GB"/>
    </w:rPr>
  </w:style>
  <w:style w:type="paragraph" w:styleId="ListParagraph">
    <w:name w:val="List Paragraph"/>
    <w:basedOn w:val="Normal"/>
    <w:uiPriority w:val="34"/>
    <w:qFormat/>
    <w:rsid w:val="007A2D0E"/>
    <w:pPr>
      <w:ind w:left="720"/>
      <w:contextualSpacing/>
    </w:pPr>
  </w:style>
  <w:style w:type="paragraph" w:styleId="NoSpacing">
    <w:name w:val="No Spacing"/>
    <w:uiPriority w:val="1"/>
    <w:qFormat/>
    <w:rsid w:val="002338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681231">
      <w:bodyDiv w:val="1"/>
      <w:marLeft w:val="0"/>
      <w:marRight w:val="0"/>
      <w:marTop w:val="0"/>
      <w:marBottom w:val="0"/>
      <w:divBdr>
        <w:top w:val="none" w:sz="0" w:space="0" w:color="auto"/>
        <w:left w:val="none" w:sz="0" w:space="0" w:color="auto"/>
        <w:bottom w:val="none" w:sz="0" w:space="0" w:color="auto"/>
        <w:right w:val="none" w:sz="0" w:space="0" w:color="auto"/>
      </w:divBdr>
      <w:divsChild>
        <w:div w:id="1892616763">
          <w:marLeft w:val="0"/>
          <w:marRight w:val="0"/>
          <w:marTop w:val="0"/>
          <w:marBottom w:val="0"/>
          <w:divBdr>
            <w:top w:val="none" w:sz="0" w:space="0" w:color="auto"/>
            <w:left w:val="none" w:sz="0" w:space="0" w:color="auto"/>
            <w:bottom w:val="none" w:sz="0" w:space="0" w:color="auto"/>
            <w:right w:val="none" w:sz="0" w:space="0" w:color="auto"/>
          </w:divBdr>
        </w:div>
      </w:divsChild>
    </w:div>
    <w:div w:id="1385640619">
      <w:bodyDiv w:val="1"/>
      <w:marLeft w:val="0"/>
      <w:marRight w:val="0"/>
      <w:marTop w:val="0"/>
      <w:marBottom w:val="0"/>
      <w:divBdr>
        <w:top w:val="none" w:sz="0" w:space="0" w:color="auto"/>
        <w:left w:val="none" w:sz="0" w:space="0" w:color="auto"/>
        <w:bottom w:val="none" w:sz="0" w:space="0" w:color="auto"/>
        <w:right w:val="none" w:sz="0" w:space="0" w:color="auto"/>
      </w:divBdr>
    </w:div>
    <w:div w:id="1419785222">
      <w:bodyDiv w:val="1"/>
      <w:marLeft w:val="0"/>
      <w:marRight w:val="0"/>
      <w:marTop w:val="0"/>
      <w:marBottom w:val="0"/>
      <w:divBdr>
        <w:top w:val="none" w:sz="0" w:space="0" w:color="auto"/>
        <w:left w:val="none" w:sz="0" w:space="0" w:color="auto"/>
        <w:bottom w:val="none" w:sz="0" w:space="0" w:color="auto"/>
        <w:right w:val="none" w:sz="0" w:space="0" w:color="auto"/>
      </w:divBdr>
    </w:div>
    <w:div w:id="1507937945">
      <w:bodyDiv w:val="1"/>
      <w:marLeft w:val="0"/>
      <w:marRight w:val="0"/>
      <w:marTop w:val="0"/>
      <w:marBottom w:val="0"/>
      <w:divBdr>
        <w:top w:val="none" w:sz="0" w:space="0" w:color="auto"/>
        <w:left w:val="none" w:sz="0" w:space="0" w:color="auto"/>
        <w:bottom w:val="none" w:sz="0" w:space="0" w:color="auto"/>
        <w:right w:val="none" w:sz="0" w:space="0" w:color="auto"/>
      </w:divBdr>
    </w:div>
    <w:div w:id="1816945274">
      <w:bodyDiv w:val="1"/>
      <w:marLeft w:val="0"/>
      <w:marRight w:val="0"/>
      <w:marTop w:val="0"/>
      <w:marBottom w:val="0"/>
      <w:divBdr>
        <w:top w:val="none" w:sz="0" w:space="0" w:color="auto"/>
        <w:left w:val="none" w:sz="0" w:space="0" w:color="auto"/>
        <w:bottom w:val="none" w:sz="0" w:space="0" w:color="auto"/>
        <w:right w:val="none" w:sz="0" w:space="0" w:color="auto"/>
      </w:divBdr>
    </w:div>
    <w:div w:id="204015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4</cp:revision>
  <dcterms:created xsi:type="dcterms:W3CDTF">2021-01-14T23:37:00Z</dcterms:created>
  <dcterms:modified xsi:type="dcterms:W3CDTF">2021-01-15T02:08:00Z</dcterms:modified>
</cp:coreProperties>
</file>